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971A3" w14:textId="5CB3050C" w:rsidR="00C414A5" w:rsidRPr="00E32157" w:rsidRDefault="00C414A5" w:rsidP="00C414A5">
      <w:pPr>
        <w:pStyle w:val="Galvene"/>
        <w:rPr>
          <w:rFonts w:ascii="Arial" w:hAnsi="Arial" w:cs="Arial"/>
          <w:b/>
          <w:bCs/>
          <w:i/>
          <w:iCs/>
          <w:caps/>
          <w:color w:val="FFFFFF"/>
          <w:sz w:val="24"/>
          <w:szCs w:val="24"/>
        </w:rPr>
      </w:pPr>
      <w:r w:rsidRPr="00E32157">
        <w:rPr>
          <w:rFonts w:ascii="Arial" w:hAnsi="Arial" w:cs="Arial"/>
          <w:b/>
          <w:sz w:val="24"/>
          <w:szCs w:val="24"/>
          <w:lang w:eastAsia="ru-RU"/>
        </w:rPr>
        <w:t xml:space="preserve">AS “Inspecta Latvia” Mācību centrs </w:t>
      </w:r>
      <w:r w:rsidRPr="00E32157">
        <w:rPr>
          <w:rFonts w:ascii="Arial" w:hAnsi="Arial" w:cs="Arial"/>
          <w:b/>
          <w:i/>
          <w:iCs/>
          <w:sz w:val="24"/>
          <w:szCs w:val="24"/>
          <w:lang w:eastAsia="ru-RU"/>
        </w:rPr>
        <w:t xml:space="preserve">Inspecta Academy </w:t>
      </w:r>
      <w:r w:rsidRPr="00E32157">
        <w:rPr>
          <w:rFonts w:ascii="Arial" w:hAnsi="Arial" w:cs="Arial"/>
          <w:b/>
          <w:sz w:val="24"/>
          <w:szCs w:val="24"/>
          <w:lang w:eastAsia="ru-RU"/>
        </w:rPr>
        <w:t xml:space="preserve">aicina pieteikties semināram </w:t>
      </w:r>
      <w:r w:rsidRPr="00E32157">
        <w:rPr>
          <w:rFonts w:ascii="Arial" w:hAnsi="Arial" w:cs="Arial"/>
          <w:b/>
          <w:i/>
          <w:iCs/>
          <w:sz w:val="24"/>
          <w:szCs w:val="24"/>
          <w:lang w:eastAsia="ru-RU"/>
        </w:rPr>
        <w:t>“Iekārtu risku novērtējums un kāda ir tā nozīme iekārtu projektēšanā?”</w:t>
      </w:r>
    </w:p>
    <w:p w14:paraId="5552D498" w14:textId="704E44BE" w:rsidR="00C414A5" w:rsidRPr="00785935" w:rsidRDefault="00C414A5" w:rsidP="006C523C">
      <w:pPr>
        <w:jc w:val="both"/>
        <w:rPr>
          <w:rFonts w:ascii="Arial" w:hAnsi="Arial" w:cs="Arial"/>
          <w:sz w:val="20"/>
          <w:szCs w:val="20"/>
        </w:rPr>
      </w:pPr>
      <w:r w:rsidRPr="00785935">
        <w:rPr>
          <w:rFonts w:ascii="Arial" w:hAnsi="Arial" w:cs="Arial"/>
          <w:sz w:val="20"/>
          <w:szCs w:val="20"/>
        </w:rPr>
        <w:t xml:space="preserve">EIROPAS PARLAMENTA UN PADOMES DIREKTĪVA 2006/42/EK (2006. gada 17. maijs) par mašīnām, nosaka, ka ražotājam katrai mašīnai – iekārtai, kas tiek piedāvāta tirgū ir jāsagatavo tehniskā lieta, kurā jābūt iekļautai dokumentācijai par mašīnas/iekārtu risku novērtējumu, kas saistīti ar iekārtas konstrukciju un funkcionalitāti. </w:t>
      </w:r>
    </w:p>
    <w:p w14:paraId="5D21A07E" w14:textId="33155B0D" w:rsidR="000C5D00" w:rsidRPr="00785935" w:rsidRDefault="006C523C" w:rsidP="006C523C">
      <w:pPr>
        <w:jc w:val="both"/>
        <w:rPr>
          <w:rFonts w:ascii="Arial" w:hAnsi="Arial" w:cs="Arial"/>
          <w:b/>
          <w:bCs/>
          <w:sz w:val="20"/>
          <w:szCs w:val="20"/>
        </w:rPr>
      </w:pPr>
      <w:r w:rsidRPr="00785935">
        <w:rPr>
          <w:rFonts w:ascii="Arial" w:hAnsi="Arial" w:cs="Arial"/>
          <w:b/>
          <w:bCs/>
          <w:sz w:val="20"/>
          <w:szCs w:val="20"/>
        </w:rPr>
        <w:t>Semināra mērķis ir iepazīstināt ar to</w:t>
      </w:r>
      <w:r w:rsidR="000C5D00" w:rsidRPr="00785935">
        <w:rPr>
          <w:rFonts w:ascii="Arial" w:hAnsi="Arial" w:cs="Arial"/>
          <w:b/>
          <w:bCs/>
          <w:sz w:val="20"/>
          <w:szCs w:val="20"/>
        </w:rPr>
        <w:t>:</w:t>
      </w:r>
    </w:p>
    <w:p w14:paraId="542E8CAE" w14:textId="28AC63E6" w:rsidR="000C5D00" w:rsidRPr="00785935" w:rsidRDefault="006C523C" w:rsidP="000C5D00">
      <w:pPr>
        <w:pStyle w:val="Sarakstarindkopa"/>
        <w:numPr>
          <w:ilvl w:val="0"/>
          <w:numId w:val="14"/>
        </w:numPr>
        <w:jc w:val="both"/>
        <w:rPr>
          <w:rFonts w:ascii="Arial" w:hAnsi="Arial" w:cs="Arial"/>
          <w:sz w:val="20"/>
          <w:szCs w:val="20"/>
        </w:rPr>
      </w:pPr>
      <w:r w:rsidRPr="00785935">
        <w:rPr>
          <w:rFonts w:ascii="Arial" w:hAnsi="Arial" w:cs="Arial"/>
          <w:sz w:val="20"/>
          <w:szCs w:val="20"/>
        </w:rPr>
        <w:t xml:space="preserve">kas ir </w:t>
      </w:r>
      <w:r w:rsidR="000C5D00" w:rsidRPr="00785935">
        <w:rPr>
          <w:rFonts w:ascii="Arial" w:hAnsi="Arial" w:cs="Arial"/>
          <w:sz w:val="20"/>
          <w:szCs w:val="20"/>
        </w:rPr>
        <w:t xml:space="preserve">iekārtu </w:t>
      </w:r>
      <w:r w:rsidRPr="00785935">
        <w:rPr>
          <w:rFonts w:ascii="Arial" w:hAnsi="Arial" w:cs="Arial"/>
          <w:sz w:val="20"/>
          <w:szCs w:val="20"/>
        </w:rPr>
        <w:t>riska novērtējums</w:t>
      </w:r>
      <w:r w:rsidR="000C5D00" w:rsidRPr="00785935">
        <w:rPr>
          <w:rFonts w:ascii="Arial" w:hAnsi="Arial" w:cs="Arial"/>
          <w:sz w:val="20"/>
          <w:szCs w:val="20"/>
        </w:rPr>
        <w:t>?</w:t>
      </w:r>
    </w:p>
    <w:p w14:paraId="0CF52832" w14:textId="249840AC" w:rsidR="000C5D00" w:rsidRPr="00785935" w:rsidRDefault="006C523C" w:rsidP="000C5D00">
      <w:pPr>
        <w:pStyle w:val="Sarakstarindkopa"/>
        <w:numPr>
          <w:ilvl w:val="0"/>
          <w:numId w:val="14"/>
        </w:numPr>
        <w:jc w:val="both"/>
        <w:rPr>
          <w:rFonts w:ascii="Arial" w:hAnsi="Arial" w:cs="Arial"/>
          <w:sz w:val="20"/>
          <w:szCs w:val="20"/>
        </w:rPr>
      </w:pPr>
      <w:r w:rsidRPr="00785935">
        <w:rPr>
          <w:rFonts w:ascii="Arial" w:hAnsi="Arial" w:cs="Arial"/>
          <w:sz w:val="20"/>
          <w:szCs w:val="20"/>
        </w:rPr>
        <w:t xml:space="preserve">kad </w:t>
      </w:r>
      <w:r w:rsidR="000C5D00" w:rsidRPr="00785935">
        <w:rPr>
          <w:rFonts w:ascii="Arial" w:hAnsi="Arial" w:cs="Arial"/>
          <w:sz w:val="20"/>
          <w:szCs w:val="20"/>
        </w:rPr>
        <w:t>jāveic riska novērtējums iekārtām?</w:t>
      </w:r>
    </w:p>
    <w:p w14:paraId="1AEC1497" w14:textId="2990315E" w:rsidR="000C5D00" w:rsidRPr="00785935" w:rsidRDefault="006C523C" w:rsidP="000C5D00">
      <w:pPr>
        <w:pStyle w:val="Sarakstarindkopa"/>
        <w:numPr>
          <w:ilvl w:val="0"/>
          <w:numId w:val="14"/>
        </w:numPr>
        <w:jc w:val="both"/>
        <w:rPr>
          <w:rFonts w:ascii="Arial" w:hAnsi="Arial" w:cs="Arial"/>
          <w:sz w:val="20"/>
          <w:szCs w:val="20"/>
        </w:rPr>
      </w:pPr>
      <w:r w:rsidRPr="00785935">
        <w:rPr>
          <w:rFonts w:ascii="Arial" w:hAnsi="Arial" w:cs="Arial"/>
          <w:sz w:val="20"/>
          <w:szCs w:val="20"/>
        </w:rPr>
        <w:t xml:space="preserve">kas </w:t>
      </w:r>
      <w:r w:rsidR="000C5D00" w:rsidRPr="00785935">
        <w:rPr>
          <w:rFonts w:ascii="Arial" w:hAnsi="Arial" w:cs="Arial"/>
          <w:sz w:val="20"/>
          <w:szCs w:val="20"/>
        </w:rPr>
        <w:t>veic iekārtu riska novērtējumu?</w:t>
      </w:r>
    </w:p>
    <w:p w14:paraId="073A3CB6" w14:textId="42FCD392" w:rsidR="000C5D00" w:rsidRPr="00785935" w:rsidRDefault="009E588C" w:rsidP="009E588C">
      <w:pPr>
        <w:pStyle w:val="Sarakstarindkopa"/>
        <w:numPr>
          <w:ilvl w:val="0"/>
          <w:numId w:val="14"/>
        </w:numPr>
        <w:jc w:val="both"/>
        <w:rPr>
          <w:rFonts w:ascii="Arial" w:hAnsi="Arial" w:cs="Arial"/>
          <w:sz w:val="20"/>
          <w:szCs w:val="20"/>
        </w:rPr>
      </w:pPr>
      <w:r w:rsidRPr="00785935">
        <w:rPr>
          <w:rFonts w:ascii="Arial" w:hAnsi="Arial" w:cs="Arial"/>
          <w:sz w:val="20"/>
          <w:szCs w:val="20"/>
        </w:rPr>
        <w:t>kā jāveic iekārtu riska novērtējums</w:t>
      </w:r>
      <w:r w:rsidR="000C5D00" w:rsidRPr="00785935">
        <w:rPr>
          <w:rFonts w:ascii="Arial" w:hAnsi="Arial" w:cs="Arial"/>
          <w:sz w:val="20"/>
          <w:szCs w:val="20"/>
        </w:rPr>
        <w:t>?</w:t>
      </w:r>
    </w:p>
    <w:p w14:paraId="0C9B2B3B" w14:textId="19CBC86E" w:rsidR="0042531B" w:rsidRPr="00785935" w:rsidRDefault="00A11E39">
      <w:pPr>
        <w:jc w:val="both"/>
        <w:rPr>
          <w:rFonts w:ascii="Arial" w:hAnsi="Arial" w:cs="Arial"/>
          <w:b/>
          <w:sz w:val="20"/>
          <w:szCs w:val="20"/>
        </w:rPr>
      </w:pPr>
      <w:r w:rsidRPr="00785935">
        <w:rPr>
          <w:rFonts w:ascii="Arial" w:hAnsi="Arial" w:cs="Arial"/>
          <w:b/>
          <w:sz w:val="20"/>
          <w:szCs w:val="20"/>
        </w:rPr>
        <w:t>Semināra</w:t>
      </w:r>
      <w:r w:rsidR="00BE1A1E" w:rsidRPr="00785935">
        <w:rPr>
          <w:rFonts w:ascii="Arial" w:hAnsi="Arial" w:cs="Arial"/>
          <w:b/>
          <w:sz w:val="20"/>
          <w:szCs w:val="20"/>
        </w:rPr>
        <w:t xml:space="preserve"> </w:t>
      </w:r>
      <w:r w:rsidR="00A95B59" w:rsidRPr="00785935">
        <w:rPr>
          <w:rFonts w:ascii="Arial" w:hAnsi="Arial" w:cs="Arial"/>
          <w:b/>
          <w:sz w:val="20"/>
          <w:szCs w:val="20"/>
        </w:rPr>
        <w:t>saturs</w:t>
      </w:r>
      <w:r w:rsidR="001149ED" w:rsidRPr="00785935">
        <w:rPr>
          <w:rFonts w:ascii="Arial" w:hAnsi="Arial" w:cs="Arial"/>
          <w:b/>
          <w:sz w:val="20"/>
          <w:szCs w:val="20"/>
        </w:rPr>
        <w:t>:</w:t>
      </w:r>
    </w:p>
    <w:p w14:paraId="3E2C15F9" w14:textId="4D40ADC8" w:rsidR="00A11E39" w:rsidRPr="00785935" w:rsidRDefault="00A11E39" w:rsidP="00A11E39">
      <w:pPr>
        <w:pStyle w:val="Sarakstarindkopa"/>
        <w:numPr>
          <w:ilvl w:val="0"/>
          <w:numId w:val="13"/>
        </w:numPr>
        <w:tabs>
          <w:tab w:val="left" w:pos="317"/>
        </w:tabs>
        <w:suppressAutoHyphens w:val="0"/>
        <w:autoSpaceDN/>
        <w:spacing w:before="60" w:after="60"/>
        <w:contextualSpacing/>
        <w:jc w:val="both"/>
        <w:textAlignment w:val="auto"/>
        <w:rPr>
          <w:rFonts w:ascii="Arial" w:hAnsi="Arial" w:cs="Arial"/>
          <w:sz w:val="20"/>
          <w:szCs w:val="20"/>
        </w:rPr>
      </w:pPr>
      <w:r w:rsidRPr="00785935">
        <w:rPr>
          <w:rFonts w:ascii="Arial" w:hAnsi="Arial" w:cs="Arial"/>
          <w:sz w:val="20"/>
          <w:szCs w:val="20"/>
        </w:rPr>
        <w:t>Normatīvo aktu par mašīnām darbības joma un prasību skaidrojums;</w:t>
      </w:r>
    </w:p>
    <w:p w14:paraId="3C53CC0C" w14:textId="369E87D1" w:rsidR="00A11E39" w:rsidRPr="00785935" w:rsidRDefault="00A11E39" w:rsidP="00A11E39">
      <w:pPr>
        <w:pStyle w:val="Sarakstarindkopa"/>
        <w:numPr>
          <w:ilvl w:val="0"/>
          <w:numId w:val="13"/>
        </w:numPr>
        <w:tabs>
          <w:tab w:val="left" w:pos="317"/>
        </w:tabs>
        <w:suppressAutoHyphens w:val="0"/>
        <w:autoSpaceDN/>
        <w:spacing w:before="60" w:after="60"/>
        <w:contextualSpacing/>
        <w:jc w:val="both"/>
        <w:textAlignment w:val="auto"/>
        <w:rPr>
          <w:rFonts w:ascii="Arial" w:hAnsi="Arial" w:cs="Arial"/>
          <w:sz w:val="20"/>
          <w:szCs w:val="20"/>
        </w:rPr>
      </w:pPr>
      <w:r w:rsidRPr="00785935">
        <w:rPr>
          <w:rFonts w:ascii="Arial" w:hAnsi="Arial" w:cs="Arial"/>
          <w:sz w:val="20"/>
          <w:szCs w:val="20"/>
        </w:rPr>
        <w:t>Kas ir ražotājs un kāda ir ražotāja atbildība?</w:t>
      </w:r>
    </w:p>
    <w:p w14:paraId="75C7B2FC" w14:textId="1C22EA16" w:rsidR="00A11E39" w:rsidRPr="00785935" w:rsidRDefault="00A11E39" w:rsidP="00A11E39">
      <w:pPr>
        <w:pStyle w:val="Sarakstarindkopa"/>
        <w:numPr>
          <w:ilvl w:val="0"/>
          <w:numId w:val="13"/>
        </w:numPr>
        <w:tabs>
          <w:tab w:val="left" w:pos="317"/>
        </w:tabs>
        <w:suppressAutoHyphens w:val="0"/>
        <w:autoSpaceDN/>
        <w:spacing w:before="60" w:after="60"/>
        <w:contextualSpacing/>
        <w:jc w:val="both"/>
        <w:textAlignment w:val="auto"/>
        <w:rPr>
          <w:rFonts w:ascii="Arial" w:hAnsi="Arial" w:cs="Arial"/>
          <w:sz w:val="20"/>
          <w:szCs w:val="20"/>
        </w:rPr>
      </w:pPr>
      <w:r w:rsidRPr="00785935">
        <w:rPr>
          <w:rFonts w:ascii="Arial" w:hAnsi="Arial" w:cs="Arial"/>
          <w:sz w:val="20"/>
          <w:szCs w:val="20"/>
        </w:rPr>
        <w:t>Riska novērtējuma mērķis;</w:t>
      </w:r>
    </w:p>
    <w:p w14:paraId="092A6A75" w14:textId="56F36179" w:rsidR="00A11E39" w:rsidRPr="00785935" w:rsidRDefault="00A11E39" w:rsidP="00A11E39">
      <w:pPr>
        <w:pStyle w:val="Sarakstarindkopa"/>
        <w:numPr>
          <w:ilvl w:val="0"/>
          <w:numId w:val="13"/>
        </w:numPr>
        <w:tabs>
          <w:tab w:val="left" w:pos="317"/>
        </w:tabs>
        <w:suppressAutoHyphens w:val="0"/>
        <w:autoSpaceDN/>
        <w:spacing w:before="60" w:after="60"/>
        <w:contextualSpacing/>
        <w:jc w:val="both"/>
        <w:textAlignment w:val="auto"/>
        <w:rPr>
          <w:rFonts w:ascii="Arial" w:hAnsi="Arial" w:cs="Arial"/>
          <w:sz w:val="20"/>
          <w:szCs w:val="20"/>
        </w:rPr>
      </w:pPr>
      <w:r w:rsidRPr="00785935">
        <w:rPr>
          <w:rFonts w:ascii="Arial" w:hAnsi="Arial" w:cs="Arial"/>
          <w:sz w:val="20"/>
          <w:szCs w:val="20"/>
        </w:rPr>
        <w:t>Būtiskās drošības prasības un harmonizētie standarti;</w:t>
      </w:r>
    </w:p>
    <w:p w14:paraId="3B42B630" w14:textId="7497F8F3" w:rsidR="00A11E39" w:rsidRPr="00785935" w:rsidRDefault="00A11E39" w:rsidP="00A11E39">
      <w:pPr>
        <w:pStyle w:val="Sarakstarindkopa"/>
        <w:numPr>
          <w:ilvl w:val="0"/>
          <w:numId w:val="13"/>
        </w:numPr>
        <w:tabs>
          <w:tab w:val="left" w:pos="317"/>
        </w:tabs>
        <w:suppressAutoHyphens w:val="0"/>
        <w:autoSpaceDN/>
        <w:spacing w:before="60" w:after="60"/>
        <w:contextualSpacing/>
        <w:jc w:val="both"/>
        <w:textAlignment w:val="auto"/>
        <w:rPr>
          <w:rFonts w:ascii="Arial" w:hAnsi="Arial" w:cs="Arial"/>
          <w:sz w:val="20"/>
          <w:szCs w:val="20"/>
        </w:rPr>
      </w:pPr>
      <w:r w:rsidRPr="00785935">
        <w:rPr>
          <w:rFonts w:ascii="Arial" w:hAnsi="Arial" w:cs="Arial"/>
          <w:sz w:val="20"/>
          <w:szCs w:val="20"/>
        </w:rPr>
        <w:t>Riska novērtēšanas process;</w:t>
      </w:r>
    </w:p>
    <w:p w14:paraId="0954254F" w14:textId="0AE2D26C" w:rsidR="00A11E39" w:rsidRPr="00785935" w:rsidRDefault="00A11E39" w:rsidP="00A11E39">
      <w:pPr>
        <w:pStyle w:val="Sarakstarindkopa"/>
        <w:numPr>
          <w:ilvl w:val="0"/>
          <w:numId w:val="13"/>
        </w:numPr>
        <w:tabs>
          <w:tab w:val="left" w:pos="317"/>
        </w:tabs>
        <w:suppressAutoHyphens w:val="0"/>
        <w:autoSpaceDN/>
        <w:spacing w:before="60" w:after="60"/>
        <w:contextualSpacing/>
        <w:jc w:val="both"/>
        <w:textAlignment w:val="auto"/>
        <w:rPr>
          <w:rFonts w:ascii="Arial" w:hAnsi="Arial" w:cs="Arial"/>
          <w:sz w:val="20"/>
          <w:szCs w:val="20"/>
        </w:rPr>
      </w:pPr>
      <w:r w:rsidRPr="00785935">
        <w:rPr>
          <w:rFonts w:ascii="Arial" w:hAnsi="Arial" w:cs="Arial"/>
          <w:sz w:val="20"/>
          <w:szCs w:val="20"/>
        </w:rPr>
        <w:t>Risku samazināšana</w:t>
      </w:r>
      <w:r w:rsidR="00EE3C00" w:rsidRPr="00785935">
        <w:rPr>
          <w:rFonts w:ascii="Arial" w:hAnsi="Arial" w:cs="Arial"/>
          <w:sz w:val="20"/>
          <w:szCs w:val="20"/>
        </w:rPr>
        <w:t>s</w:t>
      </w:r>
      <w:r w:rsidRPr="00785935">
        <w:rPr>
          <w:rFonts w:ascii="Arial" w:hAnsi="Arial" w:cs="Arial"/>
          <w:sz w:val="20"/>
          <w:szCs w:val="20"/>
        </w:rPr>
        <w:t xml:space="preserve"> principi;</w:t>
      </w:r>
    </w:p>
    <w:p w14:paraId="7C280151" w14:textId="3C7F7FF1" w:rsidR="00A11E39" w:rsidRPr="00785935" w:rsidRDefault="00A11E39" w:rsidP="00A11E39">
      <w:pPr>
        <w:pStyle w:val="Sarakstarindkopa"/>
        <w:numPr>
          <w:ilvl w:val="0"/>
          <w:numId w:val="13"/>
        </w:numPr>
        <w:tabs>
          <w:tab w:val="left" w:pos="317"/>
        </w:tabs>
        <w:suppressAutoHyphens w:val="0"/>
        <w:autoSpaceDN/>
        <w:spacing w:before="60" w:after="60"/>
        <w:contextualSpacing/>
        <w:jc w:val="both"/>
        <w:textAlignment w:val="auto"/>
        <w:rPr>
          <w:rFonts w:ascii="Arial" w:hAnsi="Arial" w:cs="Arial"/>
          <w:sz w:val="20"/>
          <w:szCs w:val="20"/>
        </w:rPr>
      </w:pPr>
      <w:r w:rsidRPr="00785935">
        <w:rPr>
          <w:rFonts w:ascii="Arial" w:hAnsi="Arial" w:cs="Arial"/>
          <w:sz w:val="20"/>
          <w:szCs w:val="20"/>
        </w:rPr>
        <w:t>Funkcionālā drošība;</w:t>
      </w:r>
    </w:p>
    <w:p w14:paraId="25C7746B" w14:textId="3601EC2D" w:rsidR="00A11E39" w:rsidRPr="00785935" w:rsidRDefault="00A11E39" w:rsidP="00A11E39">
      <w:pPr>
        <w:pStyle w:val="Sarakstarindkopa"/>
        <w:numPr>
          <w:ilvl w:val="0"/>
          <w:numId w:val="13"/>
        </w:numPr>
        <w:tabs>
          <w:tab w:val="left" w:pos="317"/>
        </w:tabs>
        <w:suppressAutoHyphens w:val="0"/>
        <w:autoSpaceDN/>
        <w:spacing w:before="60" w:after="60"/>
        <w:contextualSpacing/>
        <w:jc w:val="both"/>
        <w:textAlignment w:val="auto"/>
        <w:rPr>
          <w:rFonts w:ascii="Arial" w:hAnsi="Arial" w:cs="Arial"/>
          <w:sz w:val="20"/>
          <w:szCs w:val="20"/>
        </w:rPr>
      </w:pPr>
      <w:r w:rsidRPr="00785935">
        <w:rPr>
          <w:rFonts w:ascii="Arial" w:hAnsi="Arial" w:cs="Arial"/>
          <w:sz w:val="20"/>
          <w:szCs w:val="20"/>
        </w:rPr>
        <w:t>Novērtējuma dokumentēšana.</w:t>
      </w:r>
    </w:p>
    <w:p w14:paraId="4E7A2E1B" w14:textId="53E5A7E5" w:rsidR="00A11E39" w:rsidRPr="00785935" w:rsidRDefault="00A11E39" w:rsidP="00A11E39">
      <w:pPr>
        <w:tabs>
          <w:tab w:val="left" w:pos="317"/>
        </w:tabs>
        <w:suppressAutoHyphens w:val="0"/>
        <w:autoSpaceDN/>
        <w:spacing w:before="60" w:after="60"/>
        <w:contextualSpacing/>
        <w:jc w:val="both"/>
        <w:textAlignment w:val="auto"/>
        <w:rPr>
          <w:rFonts w:ascii="Arial" w:hAnsi="Arial" w:cs="Arial"/>
          <w:sz w:val="20"/>
          <w:szCs w:val="20"/>
        </w:rPr>
      </w:pPr>
    </w:p>
    <w:p w14:paraId="77DCBEC4" w14:textId="4B0964FA" w:rsidR="00A11E39" w:rsidRPr="00785935" w:rsidRDefault="00A11E39" w:rsidP="00A11E39">
      <w:pPr>
        <w:tabs>
          <w:tab w:val="left" w:pos="317"/>
        </w:tabs>
        <w:suppressAutoHyphens w:val="0"/>
        <w:autoSpaceDN/>
        <w:spacing w:before="60" w:after="60"/>
        <w:contextualSpacing/>
        <w:jc w:val="both"/>
        <w:textAlignment w:val="auto"/>
        <w:rPr>
          <w:rFonts w:ascii="Arial" w:hAnsi="Arial" w:cs="Arial"/>
          <w:sz w:val="20"/>
          <w:szCs w:val="20"/>
        </w:rPr>
      </w:pPr>
      <w:r w:rsidRPr="00785935">
        <w:rPr>
          <w:rFonts w:ascii="Arial" w:hAnsi="Arial" w:cs="Arial"/>
          <w:sz w:val="20"/>
          <w:szCs w:val="20"/>
        </w:rPr>
        <w:t>Saistītie normatīvie akti</w:t>
      </w:r>
      <w:r w:rsidR="003825BC" w:rsidRPr="00785935">
        <w:rPr>
          <w:rFonts w:ascii="Arial" w:hAnsi="Arial" w:cs="Arial"/>
          <w:sz w:val="20"/>
          <w:szCs w:val="20"/>
        </w:rPr>
        <w:t>:</w:t>
      </w:r>
    </w:p>
    <w:p w14:paraId="6A8F5824" w14:textId="1086149A" w:rsidR="00A11E39" w:rsidRPr="00785935" w:rsidRDefault="00A11E39" w:rsidP="00A11E39">
      <w:pPr>
        <w:tabs>
          <w:tab w:val="left" w:pos="317"/>
        </w:tabs>
        <w:suppressAutoHyphens w:val="0"/>
        <w:autoSpaceDN/>
        <w:spacing w:before="60" w:after="60"/>
        <w:contextualSpacing/>
        <w:jc w:val="both"/>
        <w:textAlignment w:val="auto"/>
        <w:rPr>
          <w:rFonts w:ascii="Arial" w:hAnsi="Arial" w:cs="Arial"/>
          <w:sz w:val="20"/>
          <w:szCs w:val="20"/>
        </w:rPr>
      </w:pPr>
      <w:r w:rsidRPr="00785935">
        <w:rPr>
          <w:rFonts w:ascii="Arial" w:hAnsi="Arial" w:cs="Arial"/>
          <w:sz w:val="20"/>
          <w:szCs w:val="20"/>
        </w:rPr>
        <w:t>1.</w:t>
      </w:r>
      <w:r w:rsidRPr="00785935">
        <w:rPr>
          <w:rFonts w:ascii="Arial" w:hAnsi="Arial" w:cs="Arial"/>
          <w:sz w:val="20"/>
          <w:szCs w:val="20"/>
        </w:rPr>
        <w:tab/>
        <w:t>Eiropas Parlamenta un Padomes Direktīva par mašīnām, un ar kuru groza Direktīvu 95/16/EK (pārstrādāšana) (MD) 2006/42/EK (2006. gada 17. maijs);</w:t>
      </w:r>
    </w:p>
    <w:p w14:paraId="18354F7F" w14:textId="704C7A61" w:rsidR="00A11E39" w:rsidRPr="00785935" w:rsidRDefault="00A11E39" w:rsidP="00A11E39">
      <w:pPr>
        <w:tabs>
          <w:tab w:val="left" w:pos="317"/>
        </w:tabs>
        <w:suppressAutoHyphens w:val="0"/>
        <w:autoSpaceDN/>
        <w:spacing w:before="60" w:after="60"/>
        <w:contextualSpacing/>
        <w:jc w:val="both"/>
        <w:textAlignment w:val="auto"/>
        <w:rPr>
          <w:rFonts w:ascii="Arial" w:hAnsi="Arial" w:cs="Arial"/>
          <w:sz w:val="20"/>
          <w:szCs w:val="20"/>
        </w:rPr>
      </w:pPr>
      <w:r w:rsidRPr="00785935">
        <w:rPr>
          <w:rFonts w:ascii="Arial" w:hAnsi="Arial" w:cs="Arial"/>
          <w:sz w:val="20"/>
          <w:szCs w:val="20"/>
        </w:rPr>
        <w:t>2.</w:t>
      </w:r>
      <w:r w:rsidRPr="00785935">
        <w:rPr>
          <w:rFonts w:ascii="Arial" w:hAnsi="Arial" w:cs="Arial"/>
          <w:sz w:val="20"/>
          <w:szCs w:val="20"/>
        </w:rPr>
        <w:tab/>
        <w:t>Ministru Kabineta noteikumi Nr.195 “Mašīnu drošības noteikumi” (25.03.2008);</w:t>
      </w:r>
    </w:p>
    <w:p w14:paraId="21787D66" w14:textId="02235767" w:rsidR="00A11E39" w:rsidRPr="00785935" w:rsidRDefault="00A11E39" w:rsidP="00A11E39">
      <w:pPr>
        <w:tabs>
          <w:tab w:val="left" w:pos="317"/>
        </w:tabs>
        <w:suppressAutoHyphens w:val="0"/>
        <w:autoSpaceDN/>
        <w:spacing w:before="60" w:after="60"/>
        <w:contextualSpacing/>
        <w:jc w:val="both"/>
        <w:textAlignment w:val="auto"/>
        <w:rPr>
          <w:rFonts w:ascii="Arial" w:hAnsi="Arial" w:cs="Arial"/>
          <w:sz w:val="20"/>
          <w:szCs w:val="20"/>
        </w:rPr>
      </w:pPr>
      <w:r w:rsidRPr="00785935">
        <w:rPr>
          <w:rFonts w:ascii="Arial" w:hAnsi="Arial" w:cs="Arial"/>
          <w:sz w:val="20"/>
          <w:szCs w:val="20"/>
        </w:rPr>
        <w:t>3.</w:t>
      </w:r>
      <w:r w:rsidRPr="00785935">
        <w:rPr>
          <w:rFonts w:ascii="Arial" w:hAnsi="Arial" w:cs="Arial"/>
          <w:sz w:val="20"/>
          <w:szCs w:val="20"/>
        </w:rPr>
        <w:tab/>
        <w:t>LVS EN ISO 12100:2011 “</w:t>
      </w:r>
      <w:r w:rsidRPr="00785935">
        <w:rPr>
          <w:rFonts w:ascii="Arial" w:hAnsi="Arial" w:cs="Arial"/>
          <w:sz w:val="20"/>
          <w:szCs w:val="20"/>
          <w:shd w:val="clear" w:color="auto" w:fill="FFFFFF"/>
        </w:rPr>
        <w:t>Mašīnu drošums. Vispārīgie projektēšanas principi. Risku novērtēšana un risku samazināšana (ISO 12100:2010)”.</w:t>
      </w:r>
    </w:p>
    <w:p w14:paraId="1EFD91D3" w14:textId="77777777" w:rsidR="007C72E7" w:rsidRPr="00785935" w:rsidRDefault="007C72E7" w:rsidP="007C72E7">
      <w:pPr>
        <w:spacing w:after="0" w:line="240" w:lineRule="auto"/>
        <w:jc w:val="both"/>
        <w:rPr>
          <w:rFonts w:ascii="Arial" w:hAnsi="Arial" w:cs="Arial"/>
          <w:color w:val="FF0000"/>
          <w:sz w:val="20"/>
          <w:szCs w:val="20"/>
        </w:rPr>
      </w:pPr>
    </w:p>
    <w:p w14:paraId="519649E5" w14:textId="77777777" w:rsidR="00C414A5" w:rsidRPr="002135C5" w:rsidRDefault="00C414A5" w:rsidP="00C414A5">
      <w:pPr>
        <w:jc w:val="both"/>
        <w:rPr>
          <w:rFonts w:ascii="Arial" w:hAnsi="Arial" w:cs="Arial"/>
          <w:bCs/>
          <w:i/>
          <w:iCs/>
          <w:sz w:val="20"/>
          <w:szCs w:val="20"/>
        </w:rPr>
      </w:pPr>
      <w:r w:rsidRPr="002135C5">
        <w:rPr>
          <w:rFonts w:ascii="Arial" w:hAnsi="Arial" w:cs="Arial"/>
          <w:bCs/>
          <w:i/>
          <w:iCs/>
          <w:sz w:val="20"/>
          <w:szCs w:val="20"/>
        </w:rPr>
        <w:t>Semināra lektors:</w:t>
      </w:r>
    </w:p>
    <w:p w14:paraId="6F85614F" w14:textId="5075C869" w:rsidR="00C414A5" w:rsidRPr="002135C5" w:rsidRDefault="00C414A5" w:rsidP="00C414A5">
      <w:pPr>
        <w:jc w:val="both"/>
        <w:rPr>
          <w:rFonts w:ascii="Arial" w:hAnsi="Arial" w:cs="Arial"/>
          <w:bCs/>
          <w:i/>
          <w:iCs/>
          <w:sz w:val="20"/>
          <w:szCs w:val="20"/>
        </w:rPr>
      </w:pPr>
      <w:r w:rsidRPr="002135C5">
        <w:rPr>
          <w:rFonts w:ascii="Arial" w:hAnsi="Arial" w:cs="Arial"/>
          <w:bCs/>
          <w:i/>
          <w:iCs/>
          <w:sz w:val="20"/>
          <w:szCs w:val="20"/>
        </w:rPr>
        <w:t xml:space="preserve">AS “Inspecta Latvia” vieslektors </w:t>
      </w:r>
      <w:r w:rsidRPr="002135C5">
        <w:rPr>
          <w:rFonts w:ascii="Arial" w:hAnsi="Arial" w:cs="Arial"/>
          <w:b/>
          <w:i/>
          <w:iCs/>
          <w:sz w:val="20"/>
          <w:szCs w:val="20"/>
        </w:rPr>
        <w:t>Ēriks Nordens</w:t>
      </w:r>
      <w:r w:rsidRPr="002135C5">
        <w:rPr>
          <w:rFonts w:ascii="Arial" w:hAnsi="Arial" w:cs="Arial"/>
          <w:bCs/>
          <w:i/>
          <w:iCs/>
          <w:sz w:val="20"/>
          <w:szCs w:val="20"/>
        </w:rPr>
        <w:t>, eksperts, mašīnbūves sertifikācijas projektu vadītājs, konsultants, auditors. 8 gadu pieredze mašīnbūves sertifikācijā, vadījis apjomīgus industriālo iekārtu un lauksaimniecības tehnikas testēšanas un sertifikācijas projektus Baltijas valstīs, Polijā, Baltkrievijā un Krievijā.</w:t>
      </w:r>
      <w:r w:rsidRPr="002135C5">
        <w:rPr>
          <w:rFonts w:ascii="Arial" w:hAnsi="Arial" w:cs="Arial"/>
          <w:bCs/>
          <w:i/>
          <w:iCs/>
          <w:color w:val="FF0000"/>
          <w:sz w:val="20"/>
          <w:szCs w:val="20"/>
        </w:rPr>
        <w:t xml:space="preserve"> </w:t>
      </w:r>
      <w:r w:rsidRPr="002135C5">
        <w:rPr>
          <w:rFonts w:ascii="Arial" w:hAnsi="Arial" w:cs="Arial"/>
          <w:bCs/>
          <w:i/>
          <w:iCs/>
          <w:color w:val="000000" w:themeColor="text1"/>
          <w:sz w:val="20"/>
          <w:szCs w:val="20"/>
        </w:rPr>
        <w:t xml:space="preserve">Lektora izglītība: </w:t>
      </w:r>
      <w:r w:rsidRPr="002135C5">
        <w:rPr>
          <w:rFonts w:ascii="Arial" w:hAnsi="Arial" w:cs="Arial"/>
          <w:i/>
          <w:iCs/>
          <w:sz w:val="20"/>
          <w:szCs w:val="20"/>
        </w:rPr>
        <w:t>Profesionālais maģistra grāds visaptverošajā kvalitātes vadībā, RTU un profesionālais inženiera grāds ražošanas tehnoloģijās, RTU.</w:t>
      </w:r>
    </w:p>
    <w:p w14:paraId="4ABD166B" w14:textId="600F11C3" w:rsidR="00785935" w:rsidRPr="00785935" w:rsidRDefault="00785935" w:rsidP="00785935">
      <w:pPr>
        <w:jc w:val="both"/>
        <w:rPr>
          <w:rFonts w:ascii="Arial" w:hAnsi="Arial" w:cs="Arial"/>
          <w:b/>
          <w:bCs/>
          <w:sz w:val="20"/>
          <w:szCs w:val="20"/>
          <w:shd w:val="clear" w:color="auto" w:fill="FFFFFF"/>
        </w:rPr>
      </w:pPr>
      <w:r w:rsidRPr="00785935">
        <w:rPr>
          <w:rStyle w:val="Izteiksmgs"/>
          <w:rFonts w:ascii="Arial" w:hAnsi="Arial" w:cs="Arial"/>
          <w:b w:val="0"/>
          <w:bCs w:val="0"/>
          <w:sz w:val="20"/>
          <w:szCs w:val="20"/>
          <w:shd w:val="clear" w:color="auto" w:fill="FFFFFF"/>
        </w:rPr>
        <w:t xml:space="preserve">Mācību centrs </w:t>
      </w:r>
      <w:r w:rsidRPr="00785935">
        <w:rPr>
          <w:rStyle w:val="Izteiksmgs"/>
          <w:rFonts w:ascii="Arial" w:hAnsi="Arial" w:cs="Arial"/>
          <w:b w:val="0"/>
          <w:bCs w:val="0"/>
          <w:i/>
          <w:iCs/>
          <w:sz w:val="20"/>
          <w:szCs w:val="20"/>
          <w:shd w:val="clear" w:color="auto" w:fill="FFFFFF"/>
        </w:rPr>
        <w:t>Inspecta Academy</w:t>
      </w:r>
      <w:r w:rsidRPr="00785935">
        <w:rPr>
          <w:rStyle w:val="Izteiksmgs"/>
          <w:rFonts w:ascii="Arial" w:hAnsi="Arial" w:cs="Arial"/>
          <w:b w:val="0"/>
          <w:bCs w:val="0"/>
          <w:sz w:val="20"/>
          <w:szCs w:val="20"/>
          <w:shd w:val="clear" w:color="auto" w:fill="FFFFFF"/>
        </w:rPr>
        <w:t xml:space="preserve"> aicina pieteikties interesentus no</w:t>
      </w:r>
      <w:r w:rsidRPr="00785935">
        <w:rPr>
          <w:rFonts w:ascii="Arial" w:hAnsi="Arial" w:cs="Arial"/>
          <w:b/>
          <w:bCs/>
          <w:sz w:val="20"/>
          <w:szCs w:val="20"/>
        </w:rPr>
        <w:t xml:space="preserve"> </w:t>
      </w:r>
      <w:r w:rsidRPr="00785935">
        <w:rPr>
          <w:rStyle w:val="Izteiksmgs"/>
          <w:rFonts w:ascii="Arial" w:hAnsi="Arial" w:cs="Arial"/>
          <w:b w:val="0"/>
          <w:bCs w:val="0"/>
          <w:sz w:val="20"/>
          <w:szCs w:val="20"/>
          <w:shd w:val="clear" w:color="auto" w:fill="FFFFFF"/>
        </w:rPr>
        <w:t>ražošanas uzņēmumiem, kas projektē, modernizē, modificē un piegādā ražošanas iekārtas vai to sastāvdaļas metālapstrādes, celtniecības, kokapstrādes, pārtikas ražošanas, lauksaimniecības un farmācijas industrijai, kā arī iekārtu projektētājus,  inženierus, ražošanas vadītājus, un kvalitātes vadītājus.</w:t>
      </w:r>
    </w:p>
    <w:p w14:paraId="4D59E02C" w14:textId="00B1821D" w:rsidR="00E32157" w:rsidRDefault="00E32157" w:rsidP="00E32157">
      <w:pPr>
        <w:spacing w:after="0" w:line="240" w:lineRule="auto"/>
        <w:jc w:val="both"/>
        <w:rPr>
          <w:rFonts w:ascii="Arial" w:hAnsi="Arial" w:cs="Arial"/>
          <w:sz w:val="20"/>
          <w:szCs w:val="20"/>
        </w:rPr>
      </w:pPr>
      <w:r w:rsidRPr="00785935">
        <w:rPr>
          <w:rFonts w:ascii="Arial" w:hAnsi="Arial" w:cs="Arial"/>
          <w:sz w:val="20"/>
          <w:szCs w:val="20"/>
        </w:rPr>
        <w:t>Semināra norises vieta</w:t>
      </w:r>
      <w:r w:rsidR="00031BFE">
        <w:rPr>
          <w:rFonts w:ascii="Arial" w:hAnsi="Arial" w:cs="Arial"/>
          <w:sz w:val="20"/>
          <w:szCs w:val="20"/>
        </w:rPr>
        <w:t>:</w:t>
      </w:r>
      <w:r w:rsidRPr="00785935">
        <w:rPr>
          <w:rFonts w:ascii="Arial" w:hAnsi="Arial" w:cs="Arial"/>
          <w:sz w:val="20"/>
          <w:szCs w:val="20"/>
        </w:rPr>
        <w:t xml:space="preserve"> AS “Inspecta Latvia” birojs, Skanstes iela 54A, Rīgā, LV-1013.</w:t>
      </w:r>
    </w:p>
    <w:p w14:paraId="68B42C63" w14:textId="011E4108" w:rsidR="00031BFE" w:rsidRPr="00785935" w:rsidRDefault="00031BFE" w:rsidP="00E32157">
      <w:pPr>
        <w:spacing w:after="0" w:line="240" w:lineRule="auto"/>
        <w:jc w:val="both"/>
        <w:rPr>
          <w:rFonts w:ascii="Arial" w:hAnsi="Arial" w:cs="Arial"/>
          <w:sz w:val="20"/>
          <w:szCs w:val="20"/>
        </w:rPr>
      </w:pPr>
      <w:r>
        <w:rPr>
          <w:rFonts w:ascii="Arial" w:hAnsi="Arial" w:cs="Arial"/>
          <w:sz w:val="20"/>
          <w:szCs w:val="20"/>
        </w:rPr>
        <w:t>Semināra norises laiks: 2020. gada 6. jūlijs plkst. 13:00-17:00</w:t>
      </w:r>
    </w:p>
    <w:p w14:paraId="77ED41D8" w14:textId="0BF9CFA7" w:rsidR="00E32157" w:rsidRPr="00785935" w:rsidRDefault="00E32157" w:rsidP="00E32157">
      <w:pPr>
        <w:spacing w:after="0" w:line="240" w:lineRule="auto"/>
        <w:jc w:val="both"/>
        <w:rPr>
          <w:rFonts w:ascii="Arial" w:hAnsi="Arial" w:cs="Arial"/>
          <w:b/>
          <w:bCs/>
          <w:sz w:val="20"/>
          <w:szCs w:val="20"/>
        </w:rPr>
      </w:pPr>
    </w:p>
    <w:p w14:paraId="4A75A1DA" w14:textId="6CB3C04F" w:rsidR="00E32157" w:rsidRPr="00785935" w:rsidRDefault="00C414A5" w:rsidP="00E05C77">
      <w:pPr>
        <w:jc w:val="both"/>
        <w:rPr>
          <w:rFonts w:ascii="Arial" w:hAnsi="Arial" w:cs="Arial"/>
          <w:bCs/>
          <w:sz w:val="20"/>
          <w:szCs w:val="20"/>
        </w:rPr>
      </w:pPr>
      <w:r w:rsidRPr="00785935">
        <w:rPr>
          <w:rFonts w:ascii="Arial" w:hAnsi="Arial" w:cs="Arial"/>
          <w:bCs/>
          <w:sz w:val="20"/>
          <w:szCs w:val="20"/>
        </w:rPr>
        <w:t>Ņemot vērā</w:t>
      </w:r>
      <w:r w:rsidR="00785935" w:rsidRPr="00785935">
        <w:rPr>
          <w:rFonts w:ascii="Arial" w:hAnsi="Arial" w:cs="Arial"/>
          <w:bCs/>
          <w:sz w:val="20"/>
          <w:szCs w:val="20"/>
        </w:rPr>
        <w:t xml:space="preserve"> Valstī izsludinātos</w:t>
      </w:r>
      <w:r w:rsidRPr="00785935">
        <w:rPr>
          <w:rFonts w:ascii="Arial" w:hAnsi="Arial" w:cs="Arial"/>
          <w:bCs/>
          <w:sz w:val="20"/>
          <w:szCs w:val="20"/>
        </w:rPr>
        <w:t xml:space="preserve"> </w:t>
      </w:r>
      <w:r w:rsidR="00785935" w:rsidRPr="00785935">
        <w:rPr>
          <w:rFonts w:ascii="Arial" w:hAnsi="Arial" w:cs="Arial"/>
          <w:bCs/>
          <w:sz w:val="20"/>
          <w:szCs w:val="20"/>
        </w:rPr>
        <w:t>piesardzības pasākumus</w:t>
      </w:r>
      <w:r w:rsidR="002135C5">
        <w:rPr>
          <w:rFonts w:ascii="Arial" w:hAnsi="Arial" w:cs="Arial"/>
          <w:bCs/>
          <w:sz w:val="20"/>
          <w:szCs w:val="20"/>
        </w:rPr>
        <w:t>,</w:t>
      </w:r>
      <w:r w:rsidRPr="00785935">
        <w:rPr>
          <w:rFonts w:ascii="Arial" w:hAnsi="Arial" w:cs="Arial"/>
          <w:bCs/>
          <w:sz w:val="20"/>
          <w:szCs w:val="20"/>
        </w:rPr>
        <w:t xml:space="preserve"> </w:t>
      </w:r>
      <w:r w:rsidR="00E32157" w:rsidRPr="00785935">
        <w:rPr>
          <w:rFonts w:ascii="Arial" w:hAnsi="Arial" w:cs="Arial"/>
          <w:bCs/>
          <w:sz w:val="20"/>
          <w:szCs w:val="20"/>
        </w:rPr>
        <w:t>un sekojot līdz aktualitātēm</w:t>
      </w:r>
      <w:r w:rsidR="002135C5">
        <w:rPr>
          <w:rFonts w:ascii="Arial" w:hAnsi="Arial" w:cs="Arial"/>
          <w:bCs/>
          <w:sz w:val="20"/>
          <w:szCs w:val="20"/>
        </w:rPr>
        <w:t>,</w:t>
      </w:r>
      <w:r w:rsidR="00E32157" w:rsidRPr="00785935">
        <w:rPr>
          <w:rFonts w:ascii="Arial" w:hAnsi="Arial" w:cs="Arial"/>
          <w:bCs/>
          <w:sz w:val="20"/>
          <w:szCs w:val="20"/>
        </w:rPr>
        <w:t xml:space="preserve"> mācību centrs </w:t>
      </w:r>
      <w:r w:rsidR="00E32157" w:rsidRPr="00785935">
        <w:rPr>
          <w:rFonts w:ascii="Arial" w:hAnsi="Arial" w:cs="Arial"/>
          <w:bCs/>
          <w:i/>
          <w:iCs/>
          <w:sz w:val="20"/>
          <w:szCs w:val="20"/>
        </w:rPr>
        <w:t>Inspecta Academy</w:t>
      </w:r>
      <w:r w:rsidR="00E32157" w:rsidRPr="00785935">
        <w:rPr>
          <w:rFonts w:ascii="Arial" w:hAnsi="Arial" w:cs="Arial"/>
          <w:bCs/>
          <w:sz w:val="20"/>
          <w:szCs w:val="20"/>
        </w:rPr>
        <w:t xml:space="preserve"> aicina pieteikties arī vebināra formātam.</w:t>
      </w:r>
    </w:p>
    <w:p w14:paraId="4A8DC039" w14:textId="423CF77C" w:rsidR="00E32157" w:rsidRPr="00785935" w:rsidRDefault="00E32157" w:rsidP="00E05C77">
      <w:pPr>
        <w:jc w:val="both"/>
        <w:rPr>
          <w:rFonts w:ascii="Arial" w:hAnsi="Arial" w:cs="Arial"/>
          <w:bCs/>
          <w:sz w:val="20"/>
          <w:szCs w:val="20"/>
        </w:rPr>
      </w:pPr>
      <w:r w:rsidRPr="00785935">
        <w:rPr>
          <w:rFonts w:ascii="Arial" w:hAnsi="Arial" w:cs="Arial"/>
          <w:bCs/>
          <w:sz w:val="20"/>
          <w:szCs w:val="20"/>
        </w:rPr>
        <w:t>Sīkāku informāciju par seminār</w:t>
      </w:r>
      <w:r w:rsidR="00785935" w:rsidRPr="00785935">
        <w:rPr>
          <w:rFonts w:ascii="Arial" w:hAnsi="Arial" w:cs="Arial"/>
          <w:bCs/>
          <w:sz w:val="20"/>
          <w:szCs w:val="20"/>
        </w:rPr>
        <w:t>u, tā norises ilgumu un cenām,</w:t>
      </w:r>
      <w:r w:rsidRPr="00785935">
        <w:rPr>
          <w:rFonts w:ascii="Arial" w:hAnsi="Arial" w:cs="Arial"/>
          <w:bCs/>
          <w:sz w:val="20"/>
          <w:szCs w:val="20"/>
        </w:rPr>
        <w:t xml:space="preserve"> </w:t>
      </w:r>
      <w:r w:rsidR="00785935" w:rsidRPr="00785935">
        <w:rPr>
          <w:rFonts w:ascii="Arial" w:hAnsi="Arial" w:cs="Arial"/>
          <w:bCs/>
          <w:sz w:val="20"/>
          <w:szCs w:val="20"/>
        </w:rPr>
        <w:t xml:space="preserve">kā arī </w:t>
      </w:r>
      <w:hyperlink r:id="rId7" w:history="1">
        <w:r w:rsidR="00785935" w:rsidRPr="002135C5">
          <w:rPr>
            <w:rStyle w:val="Hipersaite"/>
            <w:rFonts w:ascii="Arial" w:hAnsi="Arial" w:cs="Arial"/>
            <w:bCs/>
            <w:sz w:val="20"/>
            <w:szCs w:val="20"/>
          </w:rPr>
          <w:t>Reģistrācijas formu</w:t>
        </w:r>
      </w:hyperlink>
      <w:r w:rsidR="00785935" w:rsidRPr="00785935">
        <w:rPr>
          <w:rFonts w:ascii="Arial" w:hAnsi="Arial" w:cs="Arial"/>
          <w:bCs/>
          <w:color w:val="00B0F0"/>
          <w:sz w:val="20"/>
          <w:szCs w:val="20"/>
        </w:rPr>
        <w:t xml:space="preserve"> </w:t>
      </w:r>
      <w:r w:rsidRPr="00785935">
        <w:rPr>
          <w:rFonts w:ascii="Arial" w:hAnsi="Arial" w:cs="Arial"/>
          <w:bCs/>
          <w:sz w:val="20"/>
          <w:szCs w:val="20"/>
        </w:rPr>
        <w:t xml:space="preserve">variet skatīt AS </w:t>
      </w:r>
      <w:r w:rsidR="00785935" w:rsidRPr="00785935">
        <w:rPr>
          <w:rFonts w:ascii="Arial" w:hAnsi="Arial" w:cs="Arial"/>
          <w:bCs/>
          <w:sz w:val="20"/>
          <w:szCs w:val="20"/>
        </w:rPr>
        <w:t>“</w:t>
      </w:r>
      <w:r w:rsidRPr="00785935">
        <w:rPr>
          <w:rFonts w:ascii="Arial" w:hAnsi="Arial" w:cs="Arial"/>
          <w:bCs/>
          <w:sz w:val="20"/>
          <w:szCs w:val="20"/>
        </w:rPr>
        <w:t>Inspecta Latvia</w:t>
      </w:r>
      <w:r w:rsidR="00785935" w:rsidRPr="00785935">
        <w:rPr>
          <w:rFonts w:ascii="Arial" w:hAnsi="Arial" w:cs="Arial"/>
          <w:bCs/>
          <w:sz w:val="20"/>
          <w:szCs w:val="20"/>
        </w:rPr>
        <w:t>”</w:t>
      </w:r>
      <w:r w:rsidRPr="00785935">
        <w:rPr>
          <w:rFonts w:ascii="Arial" w:hAnsi="Arial" w:cs="Arial"/>
          <w:bCs/>
          <w:sz w:val="20"/>
          <w:szCs w:val="20"/>
        </w:rPr>
        <w:t xml:space="preserve"> mājas lapā </w:t>
      </w:r>
      <w:hyperlink r:id="rId8" w:history="1">
        <w:r w:rsidRPr="002135C5">
          <w:rPr>
            <w:rStyle w:val="Hipersaite"/>
            <w:rFonts w:ascii="Arial" w:hAnsi="Arial" w:cs="Arial"/>
            <w:bCs/>
            <w:sz w:val="20"/>
            <w:szCs w:val="20"/>
          </w:rPr>
          <w:t>Apmācību sadaļā.</w:t>
        </w:r>
      </w:hyperlink>
    </w:p>
    <w:p w14:paraId="770F3DF6" w14:textId="6BE87A7F" w:rsidR="0082323F" w:rsidRPr="002135C5" w:rsidRDefault="00785935" w:rsidP="002135C5">
      <w:pPr>
        <w:jc w:val="both"/>
        <w:rPr>
          <w:rFonts w:ascii="Arial" w:hAnsi="Arial" w:cs="Arial"/>
          <w:bCs/>
          <w:sz w:val="20"/>
          <w:szCs w:val="20"/>
        </w:rPr>
      </w:pPr>
      <w:r w:rsidRPr="00785935">
        <w:rPr>
          <w:rFonts w:ascii="Arial" w:hAnsi="Arial" w:cs="Arial"/>
          <w:bCs/>
          <w:sz w:val="20"/>
          <w:szCs w:val="20"/>
        </w:rPr>
        <w:t xml:space="preserve">Jautājumu vai neskaidrību gadījumā lūdzu rakstiet e-pastu </w:t>
      </w:r>
      <w:hyperlink r:id="rId9" w:history="1">
        <w:r w:rsidRPr="00785935">
          <w:rPr>
            <w:rStyle w:val="Hipersaite"/>
            <w:rFonts w:ascii="Arial" w:hAnsi="Arial" w:cs="Arial"/>
            <w:bCs/>
            <w:sz w:val="20"/>
            <w:szCs w:val="20"/>
          </w:rPr>
          <w:t>renate.kurme@kiwa.com</w:t>
        </w:r>
      </w:hyperlink>
      <w:r w:rsidRPr="00785935">
        <w:rPr>
          <w:rFonts w:ascii="Arial" w:hAnsi="Arial" w:cs="Arial"/>
          <w:bCs/>
          <w:sz w:val="20"/>
          <w:szCs w:val="20"/>
        </w:rPr>
        <w:t xml:space="preserve">  vai sazinieties pa tālruni +371 29570655.</w:t>
      </w:r>
    </w:p>
    <w:p w14:paraId="31EE3A2B" w14:textId="3F56B56A" w:rsidR="00C53923" w:rsidRPr="00EE3C00" w:rsidRDefault="00C53923">
      <w:pPr>
        <w:spacing w:after="0" w:line="240" w:lineRule="auto"/>
        <w:jc w:val="both"/>
        <w:rPr>
          <w:rFonts w:ascii="Arial" w:hAnsi="Arial" w:cs="Arial"/>
          <w:color w:val="FF0000"/>
          <w:sz w:val="20"/>
          <w:szCs w:val="20"/>
        </w:rPr>
      </w:pPr>
    </w:p>
    <w:sectPr w:rsidR="00C53923" w:rsidRPr="00EE3C00" w:rsidSect="002135C5">
      <w:headerReference w:type="default" r:id="rId10"/>
      <w:pgSz w:w="11906" w:h="16838"/>
      <w:pgMar w:top="1784" w:right="566" w:bottom="851" w:left="1152" w:header="749" w:footer="1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EA0B1" w14:textId="77777777" w:rsidR="00CC6030" w:rsidRDefault="00CC6030">
      <w:pPr>
        <w:spacing w:after="0" w:line="240" w:lineRule="auto"/>
      </w:pPr>
      <w:r>
        <w:separator/>
      </w:r>
    </w:p>
  </w:endnote>
  <w:endnote w:type="continuationSeparator" w:id="0">
    <w:p w14:paraId="3C843541" w14:textId="77777777" w:rsidR="00CC6030" w:rsidRDefault="00CC6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5F006" w14:textId="77777777" w:rsidR="00CC6030" w:rsidRDefault="00CC6030">
      <w:pPr>
        <w:spacing w:after="0" w:line="240" w:lineRule="auto"/>
      </w:pPr>
      <w:r>
        <w:rPr>
          <w:color w:val="000000"/>
        </w:rPr>
        <w:separator/>
      </w:r>
    </w:p>
  </w:footnote>
  <w:footnote w:type="continuationSeparator" w:id="0">
    <w:p w14:paraId="3E50CEFF" w14:textId="77777777" w:rsidR="00CC6030" w:rsidRDefault="00CC6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CBA1B" w14:textId="0FFAFF5D" w:rsidR="00D12966" w:rsidRDefault="00E32157">
    <w:pPr>
      <w:pStyle w:val="Galvene"/>
    </w:pPr>
    <w:r>
      <w:rPr>
        <w:noProof/>
      </w:rPr>
      <w:drawing>
        <wp:anchor distT="0" distB="0" distL="114300" distR="114300" simplePos="0" relativeHeight="251658240" behindDoc="1" locked="0" layoutInCell="1" allowOverlap="1" wp14:anchorId="6CEC8863" wp14:editId="4F80BAB9">
          <wp:simplePos x="0" y="0"/>
          <wp:positionH relativeFrom="column">
            <wp:posOffset>5145405</wp:posOffset>
          </wp:positionH>
          <wp:positionV relativeFrom="paragraph">
            <wp:posOffset>-94615</wp:posOffset>
          </wp:positionV>
          <wp:extent cx="1257300" cy="485775"/>
          <wp:effectExtent l="0" t="0" r="0" b="9525"/>
          <wp:wrapTight wrapText="bothSides">
            <wp:wrapPolygon edited="0">
              <wp:start x="0" y="0"/>
              <wp:lineTo x="0" y="21176"/>
              <wp:lineTo x="21273" y="21176"/>
              <wp:lineTo x="21273" y="0"/>
              <wp:lineTo x="0" y="0"/>
            </wp:wrapPolygon>
          </wp:wrapTight>
          <wp:docPr id="13" name="Picture 1" descr="cid:image001.png@01D32182.6EE67B20"/>
          <wp:cNvGraphicFramePr/>
          <a:graphic xmlns:a="http://schemas.openxmlformats.org/drawingml/2006/main">
            <a:graphicData uri="http://schemas.openxmlformats.org/drawingml/2006/picture">
              <pic:pic xmlns:pic="http://schemas.openxmlformats.org/drawingml/2006/picture">
                <pic:nvPicPr>
                  <pic:cNvPr id="1" name="Picture 1" descr="cid:image001.png@01D32182.6EE67B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85775"/>
                  </a:xfrm>
                  <a:prstGeom prst="rect">
                    <a:avLst/>
                  </a:prstGeom>
                  <a:noFill/>
                  <a:ln>
                    <a:noFill/>
                  </a:ln>
                </pic:spPr>
              </pic:pic>
            </a:graphicData>
          </a:graphic>
        </wp:anchor>
      </w:drawing>
    </w:r>
  </w:p>
  <w:p w14:paraId="112C6C69" w14:textId="11694EA6" w:rsidR="00307BD4" w:rsidRDefault="00CC603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45DC4"/>
    <w:multiLevelType w:val="hybridMultilevel"/>
    <w:tmpl w:val="D538831A"/>
    <w:lvl w:ilvl="0" w:tplc="E1CCD6A2">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901982"/>
    <w:multiLevelType w:val="hybridMultilevel"/>
    <w:tmpl w:val="9E32739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1E0D0E"/>
    <w:multiLevelType w:val="multilevel"/>
    <w:tmpl w:val="225C89FC"/>
    <w:lvl w:ilvl="0">
      <w:start w:val="1"/>
      <w:numFmt w:val="bullet"/>
      <w:lvlText w:val=""/>
      <w:lvlJc w:val="left"/>
      <w:pPr>
        <w:tabs>
          <w:tab w:val="num" w:pos="1353"/>
        </w:tabs>
        <w:ind w:left="1353" w:hanging="360"/>
      </w:pPr>
      <w:rPr>
        <w:rFonts w:ascii="Wingdings" w:hAnsi="Wingdings"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3" w15:restartNumberingAfterBreak="0">
    <w:nsid w:val="15092158"/>
    <w:multiLevelType w:val="multilevel"/>
    <w:tmpl w:val="E414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A46E4"/>
    <w:multiLevelType w:val="multilevel"/>
    <w:tmpl w:val="C4B050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1787651"/>
    <w:multiLevelType w:val="hybridMultilevel"/>
    <w:tmpl w:val="9A067B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4E85D9F"/>
    <w:multiLevelType w:val="hybridMultilevel"/>
    <w:tmpl w:val="D46E2AC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B7C418B"/>
    <w:multiLevelType w:val="hybridMultilevel"/>
    <w:tmpl w:val="69F8EC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A183E1B"/>
    <w:multiLevelType w:val="multilevel"/>
    <w:tmpl w:val="B8E4A9A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2722EC2"/>
    <w:multiLevelType w:val="hybridMultilevel"/>
    <w:tmpl w:val="0D1C6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4042FBC"/>
    <w:multiLevelType w:val="hybridMultilevel"/>
    <w:tmpl w:val="E94A48F4"/>
    <w:lvl w:ilvl="0" w:tplc="E1CCD6A2">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AA46B32"/>
    <w:multiLevelType w:val="hybridMultilevel"/>
    <w:tmpl w:val="5312468E"/>
    <w:lvl w:ilvl="0" w:tplc="04260005">
      <w:start w:val="1"/>
      <w:numFmt w:val="bullet"/>
      <w:lvlText w:val=""/>
      <w:lvlJc w:val="left"/>
      <w:pPr>
        <w:ind w:left="1710" w:hanging="360"/>
      </w:pPr>
      <w:rPr>
        <w:rFonts w:ascii="Wingdings" w:hAnsi="Wingdings" w:hint="default"/>
      </w:rPr>
    </w:lvl>
    <w:lvl w:ilvl="1" w:tplc="04260003" w:tentative="1">
      <w:start w:val="1"/>
      <w:numFmt w:val="bullet"/>
      <w:lvlText w:val="o"/>
      <w:lvlJc w:val="left"/>
      <w:pPr>
        <w:ind w:left="2430" w:hanging="360"/>
      </w:pPr>
      <w:rPr>
        <w:rFonts w:ascii="Courier New" w:hAnsi="Courier New" w:cs="Courier New" w:hint="default"/>
      </w:rPr>
    </w:lvl>
    <w:lvl w:ilvl="2" w:tplc="04260005" w:tentative="1">
      <w:start w:val="1"/>
      <w:numFmt w:val="bullet"/>
      <w:lvlText w:val=""/>
      <w:lvlJc w:val="left"/>
      <w:pPr>
        <w:ind w:left="3150" w:hanging="360"/>
      </w:pPr>
      <w:rPr>
        <w:rFonts w:ascii="Wingdings" w:hAnsi="Wingdings" w:hint="default"/>
      </w:rPr>
    </w:lvl>
    <w:lvl w:ilvl="3" w:tplc="04260001" w:tentative="1">
      <w:start w:val="1"/>
      <w:numFmt w:val="bullet"/>
      <w:lvlText w:val=""/>
      <w:lvlJc w:val="left"/>
      <w:pPr>
        <w:ind w:left="3870" w:hanging="360"/>
      </w:pPr>
      <w:rPr>
        <w:rFonts w:ascii="Symbol" w:hAnsi="Symbol" w:hint="default"/>
      </w:rPr>
    </w:lvl>
    <w:lvl w:ilvl="4" w:tplc="04260003" w:tentative="1">
      <w:start w:val="1"/>
      <w:numFmt w:val="bullet"/>
      <w:lvlText w:val="o"/>
      <w:lvlJc w:val="left"/>
      <w:pPr>
        <w:ind w:left="4590" w:hanging="360"/>
      </w:pPr>
      <w:rPr>
        <w:rFonts w:ascii="Courier New" w:hAnsi="Courier New" w:cs="Courier New" w:hint="default"/>
      </w:rPr>
    </w:lvl>
    <w:lvl w:ilvl="5" w:tplc="04260005" w:tentative="1">
      <w:start w:val="1"/>
      <w:numFmt w:val="bullet"/>
      <w:lvlText w:val=""/>
      <w:lvlJc w:val="left"/>
      <w:pPr>
        <w:ind w:left="5310" w:hanging="360"/>
      </w:pPr>
      <w:rPr>
        <w:rFonts w:ascii="Wingdings" w:hAnsi="Wingdings" w:hint="default"/>
      </w:rPr>
    </w:lvl>
    <w:lvl w:ilvl="6" w:tplc="04260001" w:tentative="1">
      <w:start w:val="1"/>
      <w:numFmt w:val="bullet"/>
      <w:lvlText w:val=""/>
      <w:lvlJc w:val="left"/>
      <w:pPr>
        <w:ind w:left="6030" w:hanging="360"/>
      </w:pPr>
      <w:rPr>
        <w:rFonts w:ascii="Symbol" w:hAnsi="Symbol" w:hint="default"/>
      </w:rPr>
    </w:lvl>
    <w:lvl w:ilvl="7" w:tplc="04260003" w:tentative="1">
      <w:start w:val="1"/>
      <w:numFmt w:val="bullet"/>
      <w:lvlText w:val="o"/>
      <w:lvlJc w:val="left"/>
      <w:pPr>
        <w:ind w:left="6750" w:hanging="360"/>
      </w:pPr>
      <w:rPr>
        <w:rFonts w:ascii="Courier New" w:hAnsi="Courier New" w:cs="Courier New" w:hint="default"/>
      </w:rPr>
    </w:lvl>
    <w:lvl w:ilvl="8" w:tplc="04260005" w:tentative="1">
      <w:start w:val="1"/>
      <w:numFmt w:val="bullet"/>
      <w:lvlText w:val=""/>
      <w:lvlJc w:val="left"/>
      <w:pPr>
        <w:ind w:left="7470" w:hanging="360"/>
      </w:pPr>
      <w:rPr>
        <w:rFonts w:ascii="Wingdings" w:hAnsi="Wingdings" w:hint="default"/>
      </w:rPr>
    </w:lvl>
  </w:abstractNum>
  <w:abstractNum w:abstractNumId="12" w15:restartNumberingAfterBreak="0">
    <w:nsid w:val="7542266A"/>
    <w:multiLevelType w:val="hybridMultilevel"/>
    <w:tmpl w:val="0A6C2E3C"/>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7D049B8"/>
    <w:multiLevelType w:val="hybridMultilevel"/>
    <w:tmpl w:val="97062CD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2"/>
  </w:num>
  <w:num w:numId="5">
    <w:abstractNumId w:val="11"/>
  </w:num>
  <w:num w:numId="6">
    <w:abstractNumId w:val="13"/>
  </w:num>
  <w:num w:numId="7">
    <w:abstractNumId w:val="12"/>
  </w:num>
  <w:num w:numId="8">
    <w:abstractNumId w:val="7"/>
  </w:num>
  <w:num w:numId="9">
    <w:abstractNumId w:val="5"/>
  </w:num>
  <w:num w:numId="10">
    <w:abstractNumId w:val="9"/>
  </w:num>
  <w:num w:numId="11">
    <w:abstractNumId w:val="0"/>
  </w:num>
  <w:num w:numId="12">
    <w:abstractNumId w:val="10"/>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31B"/>
    <w:rsid w:val="000239A5"/>
    <w:rsid w:val="00031BFE"/>
    <w:rsid w:val="00047F18"/>
    <w:rsid w:val="000577AF"/>
    <w:rsid w:val="00075551"/>
    <w:rsid w:val="000C5D00"/>
    <w:rsid w:val="000F2F28"/>
    <w:rsid w:val="001149ED"/>
    <w:rsid w:val="00152860"/>
    <w:rsid w:val="00155D3B"/>
    <w:rsid w:val="0019300C"/>
    <w:rsid w:val="00195152"/>
    <w:rsid w:val="001B6C08"/>
    <w:rsid w:val="001E5CCA"/>
    <w:rsid w:val="002135C5"/>
    <w:rsid w:val="002807BE"/>
    <w:rsid w:val="002B032F"/>
    <w:rsid w:val="002B06D6"/>
    <w:rsid w:val="002C73D5"/>
    <w:rsid w:val="0037613C"/>
    <w:rsid w:val="003825BC"/>
    <w:rsid w:val="003A5474"/>
    <w:rsid w:val="0042531B"/>
    <w:rsid w:val="004A7194"/>
    <w:rsid w:val="004D20A8"/>
    <w:rsid w:val="00506E42"/>
    <w:rsid w:val="005A76C4"/>
    <w:rsid w:val="005F617F"/>
    <w:rsid w:val="006060E2"/>
    <w:rsid w:val="00642656"/>
    <w:rsid w:val="006A479A"/>
    <w:rsid w:val="006C523C"/>
    <w:rsid w:val="0071487D"/>
    <w:rsid w:val="00723A8D"/>
    <w:rsid w:val="00785935"/>
    <w:rsid w:val="00792A18"/>
    <w:rsid w:val="007C72E7"/>
    <w:rsid w:val="007F26E3"/>
    <w:rsid w:val="0082323F"/>
    <w:rsid w:val="00877201"/>
    <w:rsid w:val="00977A33"/>
    <w:rsid w:val="009E588C"/>
    <w:rsid w:val="00A11E39"/>
    <w:rsid w:val="00A74A44"/>
    <w:rsid w:val="00A759DD"/>
    <w:rsid w:val="00A95B59"/>
    <w:rsid w:val="00AA08E8"/>
    <w:rsid w:val="00B341A2"/>
    <w:rsid w:val="00B5727F"/>
    <w:rsid w:val="00B95D55"/>
    <w:rsid w:val="00BA1141"/>
    <w:rsid w:val="00BB5C02"/>
    <w:rsid w:val="00BE1A1E"/>
    <w:rsid w:val="00C414A5"/>
    <w:rsid w:val="00C42BB9"/>
    <w:rsid w:val="00C53923"/>
    <w:rsid w:val="00CC6030"/>
    <w:rsid w:val="00D02A5E"/>
    <w:rsid w:val="00D12966"/>
    <w:rsid w:val="00D2499B"/>
    <w:rsid w:val="00DC3999"/>
    <w:rsid w:val="00DD52D9"/>
    <w:rsid w:val="00DD5D00"/>
    <w:rsid w:val="00DD6386"/>
    <w:rsid w:val="00E05C77"/>
    <w:rsid w:val="00E2660C"/>
    <w:rsid w:val="00E32157"/>
    <w:rsid w:val="00E71116"/>
    <w:rsid w:val="00E77F5B"/>
    <w:rsid w:val="00EE3C00"/>
    <w:rsid w:val="00EF2EF8"/>
    <w:rsid w:val="00FE58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B6C9D"/>
  <w15:docId w15:val="{30E07010-E13C-4978-B3A7-30582A16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lv-LV"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spacing w:after="0" w:line="240" w:lineRule="auto"/>
    </w:pPr>
  </w:style>
  <w:style w:type="character" w:customStyle="1" w:styleId="HeaderChar">
    <w:name w:val="Header Char"/>
    <w:basedOn w:val="Noklusjumarindkopasfonts"/>
  </w:style>
  <w:style w:type="paragraph" w:styleId="Kjene">
    <w:name w:val="footer"/>
    <w:basedOn w:val="Parasts"/>
    <w:pPr>
      <w:tabs>
        <w:tab w:val="center" w:pos="4153"/>
        <w:tab w:val="right" w:pos="8306"/>
      </w:tabs>
      <w:spacing w:after="0" w:line="240" w:lineRule="auto"/>
    </w:pPr>
  </w:style>
  <w:style w:type="character" w:customStyle="1" w:styleId="FooterChar">
    <w:name w:val="Footer Char"/>
    <w:basedOn w:val="Noklusjumarindkopasfonts"/>
  </w:style>
  <w:style w:type="character" w:styleId="Izteiksmgs">
    <w:name w:val="Strong"/>
    <w:basedOn w:val="Noklusjumarindkopasfonts"/>
    <w:rPr>
      <w:b/>
      <w:bCs/>
    </w:rPr>
  </w:style>
  <w:style w:type="paragraph" w:styleId="Sarakstarindkopa">
    <w:name w:val="List Paragraph"/>
    <w:basedOn w:val="Parasts"/>
    <w:uiPriority w:val="34"/>
    <w:qFormat/>
    <w:pPr>
      <w:spacing w:after="200" w:line="276" w:lineRule="auto"/>
      <w:ind w:left="720"/>
    </w:pPr>
  </w:style>
  <w:style w:type="character" w:styleId="Hipersaite">
    <w:name w:val="Hyperlink"/>
    <w:basedOn w:val="Noklusjumarindkopasfonts"/>
    <w:rPr>
      <w:color w:val="0563C1"/>
      <w:u w:val="single"/>
    </w:rPr>
  </w:style>
  <w:style w:type="character" w:styleId="Neatrisintapieminana">
    <w:name w:val="Unresolved Mention"/>
    <w:basedOn w:val="Noklusjumarindkopasfonts"/>
    <w:rPr>
      <w:color w:val="605E5C"/>
      <w:shd w:val="clear" w:color="auto" w:fill="E1DFDD"/>
    </w:rPr>
  </w:style>
  <w:style w:type="paragraph" w:styleId="Paraststmeklis">
    <w:name w:val="Normal (Web)"/>
    <w:basedOn w:val="Parasts"/>
    <w:pPr>
      <w:suppressAutoHyphens w:val="0"/>
      <w:spacing w:before="100" w:after="100" w:line="240" w:lineRule="auto"/>
      <w:textAlignment w:val="auto"/>
    </w:pPr>
    <w:rPr>
      <w:rFonts w:ascii="Times New Roman" w:eastAsia="Times New Roman" w:hAnsi="Times New Roman"/>
      <w:sz w:val="24"/>
      <w:szCs w:val="24"/>
      <w:lang w:eastAsia="lv-LV"/>
    </w:rPr>
  </w:style>
  <w:style w:type="character" w:styleId="Izclums">
    <w:name w:val="Emphasis"/>
    <w:basedOn w:val="Noklusjumarindkopasfonts"/>
    <w:uiPriority w:val="20"/>
    <w:qFormat/>
    <w:rsid w:val="00B341A2"/>
    <w:rPr>
      <w:i/>
      <w:iCs/>
    </w:rPr>
  </w:style>
  <w:style w:type="paragraph" w:styleId="Bezatstarpm">
    <w:name w:val="No Spacing"/>
    <w:uiPriority w:val="1"/>
    <w:qFormat/>
    <w:rsid w:val="001E5CCA"/>
    <w:pPr>
      <w:autoSpaceDN/>
      <w:spacing w:after="0" w:line="240" w:lineRule="auto"/>
      <w:textAlignment w:val="auto"/>
    </w:pPr>
    <w:rPr>
      <w:rFonts w:asciiTheme="minorHAnsi" w:eastAsiaTheme="minorEastAsia" w:hAnsiTheme="minorHAnsi" w:cstheme="minorBidi"/>
      <w:lang w:eastAsia="lv-LV"/>
    </w:rPr>
  </w:style>
  <w:style w:type="paragraph" w:styleId="Balonteksts">
    <w:name w:val="Balloon Text"/>
    <w:basedOn w:val="Parasts"/>
    <w:link w:val="BalontekstsRakstz"/>
    <w:uiPriority w:val="99"/>
    <w:semiHidden/>
    <w:unhideWhenUsed/>
    <w:rsid w:val="00E05C7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05C77"/>
    <w:rPr>
      <w:rFonts w:ascii="Segoe UI" w:hAnsi="Segoe UI" w:cs="Segoe UI"/>
      <w:sz w:val="18"/>
      <w:szCs w:val="18"/>
    </w:rPr>
  </w:style>
  <w:style w:type="character" w:customStyle="1" w:styleId="GalveneRakstz">
    <w:name w:val="Galvene Rakstz."/>
    <w:basedOn w:val="Noklusjumarindkopasfonts"/>
    <w:link w:val="Galvene"/>
    <w:rsid w:val="00C41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92362">
      <w:bodyDiv w:val="1"/>
      <w:marLeft w:val="0"/>
      <w:marRight w:val="0"/>
      <w:marTop w:val="0"/>
      <w:marBottom w:val="0"/>
      <w:divBdr>
        <w:top w:val="none" w:sz="0" w:space="0" w:color="auto"/>
        <w:left w:val="none" w:sz="0" w:space="0" w:color="auto"/>
        <w:bottom w:val="none" w:sz="0" w:space="0" w:color="auto"/>
        <w:right w:val="none" w:sz="0" w:space="0" w:color="auto"/>
      </w:divBdr>
    </w:div>
    <w:div w:id="156574910">
      <w:bodyDiv w:val="1"/>
      <w:marLeft w:val="0"/>
      <w:marRight w:val="0"/>
      <w:marTop w:val="0"/>
      <w:marBottom w:val="0"/>
      <w:divBdr>
        <w:top w:val="none" w:sz="0" w:space="0" w:color="auto"/>
        <w:left w:val="none" w:sz="0" w:space="0" w:color="auto"/>
        <w:bottom w:val="none" w:sz="0" w:space="0" w:color="auto"/>
        <w:right w:val="none" w:sz="0" w:space="0" w:color="auto"/>
      </w:divBdr>
    </w:div>
    <w:div w:id="259334922">
      <w:bodyDiv w:val="1"/>
      <w:marLeft w:val="0"/>
      <w:marRight w:val="0"/>
      <w:marTop w:val="0"/>
      <w:marBottom w:val="0"/>
      <w:divBdr>
        <w:top w:val="none" w:sz="0" w:space="0" w:color="auto"/>
        <w:left w:val="none" w:sz="0" w:space="0" w:color="auto"/>
        <w:bottom w:val="none" w:sz="0" w:space="0" w:color="auto"/>
        <w:right w:val="none" w:sz="0" w:space="0" w:color="auto"/>
      </w:divBdr>
    </w:div>
    <w:div w:id="405226852">
      <w:bodyDiv w:val="1"/>
      <w:marLeft w:val="0"/>
      <w:marRight w:val="0"/>
      <w:marTop w:val="0"/>
      <w:marBottom w:val="0"/>
      <w:divBdr>
        <w:top w:val="none" w:sz="0" w:space="0" w:color="auto"/>
        <w:left w:val="none" w:sz="0" w:space="0" w:color="auto"/>
        <w:bottom w:val="none" w:sz="0" w:space="0" w:color="auto"/>
        <w:right w:val="none" w:sz="0" w:space="0" w:color="auto"/>
      </w:divBdr>
    </w:div>
    <w:div w:id="544022717">
      <w:bodyDiv w:val="1"/>
      <w:marLeft w:val="0"/>
      <w:marRight w:val="0"/>
      <w:marTop w:val="0"/>
      <w:marBottom w:val="0"/>
      <w:divBdr>
        <w:top w:val="none" w:sz="0" w:space="0" w:color="auto"/>
        <w:left w:val="none" w:sz="0" w:space="0" w:color="auto"/>
        <w:bottom w:val="none" w:sz="0" w:space="0" w:color="auto"/>
        <w:right w:val="none" w:sz="0" w:space="0" w:color="auto"/>
      </w:divBdr>
      <w:divsChild>
        <w:div w:id="1369834112">
          <w:marLeft w:val="475"/>
          <w:marRight w:val="0"/>
          <w:marTop w:val="0"/>
          <w:marBottom w:val="120"/>
          <w:divBdr>
            <w:top w:val="none" w:sz="0" w:space="0" w:color="auto"/>
            <w:left w:val="none" w:sz="0" w:space="0" w:color="auto"/>
            <w:bottom w:val="none" w:sz="0" w:space="0" w:color="auto"/>
            <w:right w:val="none" w:sz="0" w:space="0" w:color="auto"/>
          </w:divBdr>
        </w:div>
        <w:div w:id="1834031273">
          <w:marLeft w:val="475"/>
          <w:marRight w:val="0"/>
          <w:marTop w:val="0"/>
          <w:marBottom w:val="120"/>
          <w:divBdr>
            <w:top w:val="none" w:sz="0" w:space="0" w:color="auto"/>
            <w:left w:val="none" w:sz="0" w:space="0" w:color="auto"/>
            <w:bottom w:val="none" w:sz="0" w:space="0" w:color="auto"/>
            <w:right w:val="none" w:sz="0" w:space="0" w:color="auto"/>
          </w:divBdr>
        </w:div>
        <w:div w:id="2119175743">
          <w:marLeft w:val="475"/>
          <w:marRight w:val="0"/>
          <w:marTop w:val="0"/>
          <w:marBottom w:val="120"/>
          <w:divBdr>
            <w:top w:val="none" w:sz="0" w:space="0" w:color="auto"/>
            <w:left w:val="none" w:sz="0" w:space="0" w:color="auto"/>
            <w:bottom w:val="none" w:sz="0" w:space="0" w:color="auto"/>
            <w:right w:val="none" w:sz="0" w:space="0" w:color="auto"/>
          </w:divBdr>
        </w:div>
        <w:div w:id="1241254320">
          <w:marLeft w:val="475"/>
          <w:marRight w:val="0"/>
          <w:marTop w:val="0"/>
          <w:marBottom w:val="120"/>
          <w:divBdr>
            <w:top w:val="none" w:sz="0" w:space="0" w:color="auto"/>
            <w:left w:val="none" w:sz="0" w:space="0" w:color="auto"/>
            <w:bottom w:val="none" w:sz="0" w:space="0" w:color="auto"/>
            <w:right w:val="none" w:sz="0" w:space="0" w:color="auto"/>
          </w:divBdr>
        </w:div>
        <w:div w:id="466289005">
          <w:marLeft w:val="475"/>
          <w:marRight w:val="0"/>
          <w:marTop w:val="0"/>
          <w:marBottom w:val="120"/>
          <w:divBdr>
            <w:top w:val="none" w:sz="0" w:space="0" w:color="auto"/>
            <w:left w:val="none" w:sz="0" w:space="0" w:color="auto"/>
            <w:bottom w:val="none" w:sz="0" w:space="0" w:color="auto"/>
            <w:right w:val="none" w:sz="0" w:space="0" w:color="auto"/>
          </w:divBdr>
        </w:div>
        <w:div w:id="2007829716">
          <w:marLeft w:val="475"/>
          <w:marRight w:val="0"/>
          <w:marTop w:val="0"/>
          <w:marBottom w:val="120"/>
          <w:divBdr>
            <w:top w:val="none" w:sz="0" w:space="0" w:color="auto"/>
            <w:left w:val="none" w:sz="0" w:space="0" w:color="auto"/>
            <w:bottom w:val="none" w:sz="0" w:space="0" w:color="auto"/>
            <w:right w:val="none" w:sz="0" w:space="0" w:color="auto"/>
          </w:divBdr>
        </w:div>
      </w:divsChild>
    </w:div>
    <w:div w:id="568269069">
      <w:bodyDiv w:val="1"/>
      <w:marLeft w:val="0"/>
      <w:marRight w:val="0"/>
      <w:marTop w:val="0"/>
      <w:marBottom w:val="0"/>
      <w:divBdr>
        <w:top w:val="none" w:sz="0" w:space="0" w:color="auto"/>
        <w:left w:val="none" w:sz="0" w:space="0" w:color="auto"/>
        <w:bottom w:val="none" w:sz="0" w:space="0" w:color="auto"/>
        <w:right w:val="none" w:sz="0" w:space="0" w:color="auto"/>
      </w:divBdr>
    </w:div>
    <w:div w:id="1130393297">
      <w:bodyDiv w:val="1"/>
      <w:marLeft w:val="0"/>
      <w:marRight w:val="0"/>
      <w:marTop w:val="0"/>
      <w:marBottom w:val="0"/>
      <w:divBdr>
        <w:top w:val="none" w:sz="0" w:space="0" w:color="auto"/>
        <w:left w:val="none" w:sz="0" w:space="0" w:color="auto"/>
        <w:bottom w:val="none" w:sz="0" w:space="0" w:color="auto"/>
        <w:right w:val="none" w:sz="0" w:space="0" w:color="auto"/>
      </w:divBdr>
    </w:div>
    <w:div w:id="1159079745">
      <w:bodyDiv w:val="1"/>
      <w:marLeft w:val="0"/>
      <w:marRight w:val="0"/>
      <w:marTop w:val="0"/>
      <w:marBottom w:val="0"/>
      <w:divBdr>
        <w:top w:val="none" w:sz="0" w:space="0" w:color="auto"/>
        <w:left w:val="none" w:sz="0" w:space="0" w:color="auto"/>
        <w:bottom w:val="none" w:sz="0" w:space="0" w:color="auto"/>
        <w:right w:val="none" w:sz="0" w:space="0" w:color="auto"/>
      </w:divBdr>
    </w:div>
    <w:div w:id="1186093136">
      <w:bodyDiv w:val="1"/>
      <w:marLeft w:val="0"/>
      <w:marRight w:val="0"/>
      <w:marTop w:val="0"/>
      <w:marBottom w:val="0"/>
      <w:divBdr>
        <w:top w:val="none" w:sz="0" w:space="0" w:color="auto"/>
        <w:left w:val="none" w:sz="0" w:space="0" w:color="auto"/>
        <w:bottom w:val="none" w:sz="0" w:space="0" w:color="auto"/>
        <w:right w:val="none" w:sz="0" w:space="0" w:color="auto"/>
      </w:divBdr>
    </w:div>
    <w:div w:id="1622298643">
      <w:bodyDiv w:val="1"/>
      <w:marLeft w:val="0"/>
      <w:marRight w:val="0"/>
      <w:marTop w:val="0"/>
      <w:marBottom w:val="0"/>
      <w:divBdr>
        <w:top w:val="none" w:sz="0" w:space="0" w:color="auto"/>
        <w:left w:val="none" w:sz="0" w:space="0" w:color="auto"/>
        <w:bottom w:val="none" w:sz="0" w:space="0" w:color="auto"/>
        <w:right w:val="none" w:sz="0" w:space="0" w:color="auto"/>
      </w:divBdr>
    </w:div>
    <w:div w:id="181478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iwa.com/lv/lv/produkti/kas-ir-iekartu-risku-novertejums-un-kada-ir-ta-nozime-iekartu-projektesana" TargetMode="External"/><Relationship Id="rId3" Type="http://schemas.openxmlformats.org/officeDocument/2006/relationships/settings" Target="settings.xml"/><Relationship Id="rId7" Type="http://schemas.openxmlformats.org/officeDocument/2006/relationships/hyperlink" Target="https://forms.office.com/Pages/ResponsePage.aspx?id=5YvVUrRpG0KDbrktvgsGfU-S3AehfvVJuLilgno8I1FUQUo1MkpBQ1FMVDFJVFM0NkdJOFRLM1o1VS4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nate.kurme@kiw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1998</Words>
  <Characters>1139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ELEKTRODROŠĪBA</vt:lpstr>
      <vt:lpstr>ELEKTRODROŠĪBA</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ELEKTRODROŠĪBA</dc:title>
  <dc:subject/>
  <dc:creator>Zivcikova Marina</dc:creator>
  <dc:description/>
  <cp:lastModifiedBy>Gita</cp:lastModifiedBy>
  <cp:revision>3</cp:revision>
  <cp:lastPrinted>2020-02-25T10:22:00Z</cp:lastPrinted>
  <dcterms:created xsi:type="dcterms:W3CDTF">2020-06-15T07:35:00Z</dcterms:created>
  <dcterms:modified xsi:type="dcterms:W3CDTF">2020-06-15T07:38:00Z</dcterms:modified>
</cp:coreProperties>
</file>